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80" w:rsidRDefault="00FE6280" w:rsidP="00FE6280">
      <w:pPr>
        <w:jc w:val="righ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Приложение № 4</w:t>
      </w:r>
    </w:p>
    <w:p w:rsidR="00FE6280" w:rsidRDefault="00FE6280" w:rsidP="00FE6280">
      <w:pPr>
        <w:jc w:val="center"/>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br/>
        <w:t>Положение о формах и порядке формирования регистров бухгалтерского учета,</w:t>
      </w:r>
      <w:r>
        <w:rPr>
          <w:rFonts w:ascii="Times New Roman" w:hAnsi="Times New Roman" w:cs="Times New Roman"/>
          <w:b/>
          <w:bCs/>
          <w:sz w:val="28"/>
          <w:szCs w:val="28"/>
          <w:shd w:val="clear" w:color="auto" w:fill="FFFFFF"/>
        </w:rPr>
        <w:br/>
        <w:t>первичных документов</w:t>
      </w:r>
    </w:p>
    <w:p w:rsidR="00FE6280" w:rsidRDefault="00FE6280" w:rsidP="00FE6280">
      <w:pPr>
        <w:jc w:val="both"/>
        <w:rPr>
          <w:rFonts w:ascii="Times New Roman" w:hAnsi="Times New Roman" w:cs="Times New Roman"/>
          <w:sz w:val="28"/>
          <w:szCs w:val="28"/>
          <w:shd w:val="clear" w:color="auto" w:fill="FFFFFF"/>
        </w:rPr>
      </w:pPr>
    </w:p>
    <w:p w:rsidR="00FE6280" w:rsidRDefault="00FE6280" w:rsidP="00FE6280">
      <w:pPr>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1. ОБЩИЕ ПОЛОЖЕНИЯ</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 Все операции, проводимые организациями, оформляются первичными документами в соответствии с требованиями Закона от 06 декабря 2011г. № 402-ФЗ и Инструкции от 01.12.2010 г. № 157н.</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Перечень лиц, имеющих право подписи первичных учетных документов, утверждает руководитель организации по согласованию с главным бухгалтером.</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 Документы, которыми оформляются факт хозяйственной жизни по операциям с денежными средствами, подписываются руководителем организации и главным бухгалтером или уполномоченными лицами.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 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 Первичные учетные документы, а также регистры бухучета формируются на русском языке с применением кодов (сокращений), установленных обычаями делопроизводства по организации.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 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1.8. Внесение исправлений в регистры бухгалтерского учета производится в порядке, предусмотренном Инструкцией № 157н, только при разрешении главного бухгалтера.</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1.10. Первичные и сводные учетные документы могут составляться на бумажных и машинных носителях информации.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1.11. Учреждение обеспечивает изготовление учетных документов на бумажных </w:t>
      </w:r>
      <w:proofErr w:type="gramStart"/>
      <w:r>
        <w:rPr>
          <w:rFonts w:ascii="Times New Roman" w:hAnsi="Times New Roman" w:cs="Times New Roman"/>
          <w:sz w:val="28"/>
          <w:szCs w:val="28"/>
          <w:shd w:val="clear" w:color="auto" w:fill="FFFFFF"/>
        </w:rPr>
        <w:t>носителях</w:t>
      </w:r>
      <w:proofErr w:type="gramEnd"/>
      <w:r>
        <w:rPr>
          <w:rFonts w:ascii="Times New Roman" w:hAnsi="Times New Roman" w:cs="Times New Roman"/>
          <w:sz w:val="28"/>
          <w:szCs w:val="28"/>
          <w:shd w:val="clear" w:color="auto" w:fill="FFFFFF"/>
        </w:rPr>
        <w:t xml:space="preserve"> как для других участников хозяйственных операций, так и для формирования архива.</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1.12. Главный бухгалтер обеспечивает изготовление копий документов, сформированных на машинных (магнитных) носителях с соблюдением периодичности, установленной по организации.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1.13. </w:t>
      </w:r>
      <w:proofErr w:type="gramStart"/>
      <w:r>
        <w:rPr>
          <w:rFonts w:ascii="Times New Roman" w:hAnsi="Times New Roman" w:cs="Times New Roman"/>
          <w:sz w:val="28"/>
          <w:szCs w:val="28"/>
          <w:shd w:val="clear" w:color="auto" w:fill="FFFFFF"/>
        </w:rPr>
        <w:t>При изъятии первичных учетных документов, регистров бухгалтерского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roofErr w:type="gramEnd"/>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1.14. По истечении каждого отчетного месяца первичные учетные документы, относящиеся к соответствующим журналам операций (регистрам бухгалтерского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организации; название и порядковый номер папки (дела); отчетный период – год и месяц; начальный и последний номера журналов операций; количество листов в папке (деле).</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1.15. 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1.16. Выполнение соответствующих требований к хранению документов осуществляет лицо, ответственное за их формирование, до </w:t>
      </w:r>
      <w:r>
        <w:rPr>
          <w:rFonts w:ascii="Times New Roman" w:hAnsi="Times New Roman" w:cs="Times New Roman"/>
          <w:sz w:val="28"/>
          <w:szCs w:val="28"/>
          <w:shd w:val="clear" w:color="auto" w:fill="FFFFFF"/>
        </w:rPr>
        <w:lastRenderedPageBreak/>
        <w:t>момента их сдачи в бухгалтерскую службу организации, а после сдачи в бухгалтерию – главный бухгалтер или лицо, им назначенное.</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1.17. В случае пропажи или уничтожения первичных учетных документов и регистров бухгалтерского учета руководитель организации назначает приказом комиссию по расследованию причин их пропажи или уничтожения.</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1.18. 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1.19. Результаты работы комиссии оформляются актом, который утверждается руководителем организации. Копия акта направляется в вышестоящее учреждение.</w:t>
      </w:r>
    </w:p>
    <w:p w:rsidR="00FE6280" w:rsidRDefault="00FE6280" w:rsidP="00FE6280">
      <w:pPr>
        <w:ind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 </w:t>
      </w:r>
    </w:p>
    <w:p w:rsidR="00FE6280" w:rsidRDefault="00FE6280" w:rsidP="00FE6280">
      <w:pPr>
        <w:ind w:firstLine="709"/>
        <w:jc w:val="both"/>
        <w:rPr>
          <w:rFonts w:ascii="Times New Roman" w:hAnsi="Times New Roman" w:cs="Times New Roman"/>
          <w:b/>
          <w:bCs/>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 ДОКУМЕНТАЛЬНОЕ ОФОРМЛЕНИЕ ФАКТОВ ХОЗЯЙСТВЕННОЙ ЖИЗНИ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 Факт хозяйственной жизни отражается в бухучете на основании оправдательных документов (первичных учетных документов).</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 Для ведения бухгалтерского учета применяются унифицированные формы первичных документов класса 03 и 05 ОКУД, предусмотренные Инструкцией № 157н и Приказом МФ РФ от 15.12.2010 г. № 173н, а также формы документов по перечню, утвержденному в организации.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 Перечень форм регистров бухгалтерского учета и порядок их формирования устанавливается соответственно с Инструкцией № 157н.</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2.4. Представление документов в бухгалтерскую службу осуществляется по графику документооборота организации. </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2.5. Требования главного бухгалтера по документальному оформлению факта хозяйственной жизни и представлению в бухгалтерию необходимых документов и сведений обязательны для всех работников Университета.</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2.6. Без подписи главного бухгалтера денежные и расчетные документы, финансовые обязательства считаются недействительными и не </w:t>
      </w:r>
      <w:r>
        <w:rPr>
          <w:rFonts w:ascii="Times New Roman" w:hAnsi="Times New Roman" w:cs="Times New Roman"/>
          <w:sz w:val="28"/>
          <w:szCs w:val="28"/>
          <w:shd w:val="clear" w:color="auto" w:fill="FFFFFF"/>
        </w:rPr>
        <w:lastRenderedPageBreak/>
        <w:t>должны приниматься к исполнению (ст. 9 Закона от 06 декабря 2011 г. № 402-ФЗ).</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 Нумерация первичных учетных документов осуществляется сплошным порядком в течение финансового года. Структура номера учетного документа может содержать отличительные признаки (коды) в разрезе видов деятельности организации, коды источников финансирования (элемент бюджета и т. п.), коды подразделений (в т. ч. обособленных).</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2.8. Нумерация платежных первичных документов осуществляется сплошным порядком по всем источникам финансирования организации.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rPr>
        <w:t>3. ФОРМЫ ПЕРВИЧНЫХ ДОКУМЕНТОВ</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3.1. Первичные учетные документы, принимаемые к учету, формируются по унифицированным формам первичных документов, установленным приложением 2 к Инструкции № 157н и приказом Минфина России от 15 декабря 2010 г. № 173н, а также формам документов, установленным для внутренней бухгалтерской отчетности в организации.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3.3. Для оформления фактов хозяйственной жизни,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 организации.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3.4. Перечень типовых форм с указанием основных и дополнительных реквизитов, используемых в организации, устанавливается по организации Положением о формах и порядке формирования регистров бухгалтерского учета, первичных документов и порядка их архивации.</w:t>
      </w:r>
    </w:p>
    <w:p w:rsidR="00FE6280" w:rsidRDefault="00FE6280" w:rsidP="00FE6280">
      <w:pPr>
        <w:ind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3.5. Состав дополнительных форм и порядок их оформления устанавливается распоряжениями главного бухгалтера по бухгалтерской службе.</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4. ОФОРМЛЕНИЕ БУХГАЛТЕРСКОГО УЧЕТА РЕГИСТРАМИ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4.1. Бухгалтерский учет организации осуществляется по журнальной форме бухгалтерского учета с элементами автоматизации</w:t>
      </w:r>
      <w:r>
        <w:rPr>
          <w:rFonts w:ascii="Times New Roman" w:hAnsi="Times New Roman" w:cs="Times New Roman"/>
          <w:bCs/>
          <w:iCs/>
          <w:sz w:val="28"/>
          <w:szCs w:val="28"/>
          <w:shd w:val="clear" w:color="auto" w:fill="FFFFFF"/>
        </w:rPr>
        <w:t xml:space="preserve"> с использованием учетной системы «Парус Бюджет»</w:t>
      </w:r>
      <w:r>
        <w:rPr>
          <w:rFonts w:ascii="Times New Roman" w:hAnsi="Times New Roman" w:cs="Times New Roman"/>
          <w:sz w:val="28"/>
          <w:szCs w:val="28"/>
          <w:shd w:val="clear" w:color="auto" w:fill="FFFFFF"/>
        </w:rPr>
        <w:t>.</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4.2. Выходные формы по бухгалтерским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4.3. При формировании перечня форм регистров бухгалтерского учета и порядка их ведения (в т. ч. относительно порядка создания архива бухгалтерских документов) организация руководствуется нормами, предусмотренными Инструкцией № 157н и настоящим приказом.</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4.4. Формирование регистров, отражающих результат хозяйственной жизни, производимых в рамках исполнения учреждением плана ФХД производить вместе с разделением по кодам вида финансового обеспечения.</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shd w:val="clear" w:color="auto" w:fill="FFFFFF"/>
        </w:rPr>
        <w:t>4.5. Бухгалтерский учет осуществляется по следующим журналам операций:</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1</w:t>
      </w:r>
      <w:r>
        <w:rPr>
          <w:rFonts w:ascii="Times New Roman" w:hAnsi="Times New Roman" w:cs="Times New Roman"/>
          <w:sz w:val="28"/>
          <w:szCs w:val="28"/>
          <w:shd w:val="clear" w:color="auto" w:fill="FFFFFF"/>
        </w:rPr>
        <w:t xml:space="preserve"> операций по счету «Касса»;</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2</w:t>
      </w:r>
      <w:r>
        <w:rPr>
          <w:rFonts w:ascii="Times New Roman" w:hAnsi="Times New Roman" w:cs="Times New Roman"/>
          <w:sz w:val="28"/>
          <w:szCs w:val="28"/>
          <w:shd w:val="clear" w:color="auto" w:fill="FFFFFF"/>
        </w:rPr>
        <w:t xml:space="preserve"> операций с безналичными денежными средствами;</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3</w:t>
      </w:r>
      <w:r>
        <w:rPr>
          <w:rFonts w:ascii="Times New Roman" w:hAnsi="Times New Roman" w:cs="Times New Roman"/>
          <w:sz w:val="28"/>
          <w:szCs w:val="28"/>
          <w:shd w:val="clear" w:color="auto" w:fill="FFFFFF"/>
        </w:rPr>
        <w:t xml:space="preserve"> операций расчетов с подотчетными лицами;</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4</w:t>
      </w:r>
      <w:r>
        <w:rPr>
          <w:rFonts w:ascii="Times New Roman" w:hAnsi="Times New Roman" w:cs="Times New Roman"/>
          <w:sz w:val="28"/>
          <w:szCs w:val="28"/>
          <w:shd w:val="clear" w:color="auto" w:fill="FFFFFF"/>
        </w:rPr>
        <w:t xml:space="preserve"> операций расчетов с поставщиками и подрядчиками;</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5</w:t>
      </w:r>
      <w:r>
        <w:rPr>
          <w:rFonts w:ascii="Times New Roman" w:hAnsi="Times New Roman" w:cs="Times New Roman"/>
          <w:sz w:val="28"/>
          <w:szCs w:val="28"/>
          <w:shd w:val="clear" w:color="auto" w:fill="FFFFFF"/>
        </w:rPr>
        <w:t xml:space="preserve"> операций расчетов с дебиторами по доходам;</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6</w:t>
      </w:r>
      <w:r>
        <w:rPr>
          <w:rFonts w:ascii="Times New Roman" w:hAnsi="Times New Roman" w:cs="Times New Roman"/>
          <w:sz w:val="28"/>
          <w:szCs w:val="28"/>
          <w:shd w:val="clear" w:color="auto" w:fill="FFFFFF"/>
        </w:rPr>
        <w:t xml:space="preserve"> операций расчетов по оплате труда;</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7</w:t>
      </w:r>
      <w:r>
        <w:rPr>
          <w:rFonts w:ascii="Times New Roman" w:hAnsi="Times New Roman" w:cs="Times New Roman"/>
          <w:sz w:val="28"/>
          <w:szCs w:val="28"/>
          <w:shd w:val="clear" w:color="auto" w:fill="FFFFFF"/>
        </w:rPr>
        <w:t xml:space="preserve"> операций по выбытию и перемещению нефинансовых активов;</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8</w:t>
      </w:r>
      <w:r>
        <w:rPr>
          <w:rFonts w:ascii="Times New Roman" w:hAnsi="Times New Roman" w:cs="Times New Roman"/>
          <w:sz w:val="28"/>
          <w:szCs w:val="28"/>
          <w:shd w:val="clear" w:color="auto" w:fill="FFFFFF"/>
        </w:rPr>
        <w:t xml:space="preserve"> по прочим операциям;</w:t>
      </w:r>
    </w:p>
    <w:p w:rsidR="00FE6280" w:rsidRDefault="00FE6280" w:rsidP="00FE6280">
      <w:pPr>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Журнал № 9</w:t>
      </w:r>
      <w:r>
        <w:rPr>
          <w:rFonts w:ascii="Times New Roman" w:hAnsi="Times New Roman" w:cs="Times New Roman"/>
          <w:sz w:val="28"/>
          <w:szCs w:val="28"/>
          <w:shd w:val="clear" w:color="auto" w:fill="FFFFFF"/>
        </w:rPr>
        <w:t xml:space="preserve"> операций по санкционированию;</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t>Главная книга</w:t>
      </w:r>
      <w:r>
        <w:rPr>
          <w:rFonts w:ascii="Times New Roman" w:hAnsi="Times New Roman" w:cs="Times New Roman"/>
          <w:sz w:val="28"/>
          <w:szCs w:val="28"/>
          <w:shd w:val="clear" w:color="auto" w:fill="FFFFFF"/>
        </w:rPr>
        <w:t>.</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4.6. Корреспонденция счетов в журнале операций записывается в зависимости от характера операций по дебету одного счета и кредиту другого счета.</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4.7. Журналы операций подписываются главным бухгалтером и бухгалтером, составившим журнал операций.</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4.8. По истечении месяца данные оборотов по счетам из журналов операций записываются в Главную книгу.</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4.9. Главная книга формируется:</w:t>
      </w:r>
    </w:p>
    <w:p w:rsidR="00FE6280" w:rsidRDefault="00FE6280" w:rsidP="00FE6280">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общая</w:t>
      </w:r>
      <w:proofErr w:type="gramEnd"/>
      <w:r>
        <w:rPr>
          <w:rFonts w:ascii="Times New Roman" w:hAnsi="Times New Roman" w:cs="Times New Roman"/>
          <w:sz w:val="28"/>
          <w:szCs w:val="28"/>
          <w:shd w:val="clear" w:color="auto" w:fill="FFFFFF"/>
        </w:rPr>
        <w:t xml:space="preserve"> с разделением по каждому коду финансового обеспечения.</w:t>
      </w:r>
    </w:p>
    <w:p w:rsidR="00FE6280" w:rsidRDefault="00FE6280" w:rsidP="00FE6280">
      <w:pPr>
        <w:ind w:firstLine="709"/>
        <w:jc w:val="both"/>
        <w:rPr>
          <w:rFonts w:ascii="Times New Roman" w:hAnsi="Times New Roman" w:cs="Times New Roman"/>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p>
    <w:p w:rsidR="00FE6280" w:rsidRDefault="00FE6280" w:rsidP="00FE6280">
      <w:pPr>
        <w:ind w:firstLine="709"/>
        <w:jc w:val="both"/>
        <w:rPr>
          <w:rFonts w:ascii="Times New Roman" w:hAnsi="Times New Roman" w:cs="Times New Roman"/>
          <w:sz w:val="28"/>
          <w:szCs w:val="28"/>
          <w:shd w:val="clear" w:color="auto" w:fill="FFFFFF"/>
        </w:rPr>
      </w:pPr>
    </w:p>
    <w:p w:rsidR="001C5C83" w:rsidRDefault="001C5C83"/>
    <w:sectPr w:rsidR="001C5C83" w:rsidSect="001C5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280"/>
    <w:rsid w:val="001C5C83"/>
    <w:rsid w:val="00FE6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80"/>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2019-04-04T07:25:00Z</dcterms:created>
  <dcterms:modified xsi:type="dcterms:W3CDTF">2019-04-04T07:26:00Z</dcterms:modified>
</cp:coreProperties>
</file>